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05790" cy="502285"/>
            <wp:effectExtent b="0" l="0" r="0" t="0"/>
            <wp:docPr descr="MIN" id="1" name="image2.png"/>
            <a:graphic>
              <a:graphicData uri="http://schemas.openxmlformats.org/drawingml/2006/picture">
                <pic:pic>
                  <pic:nvPicPr>
                    <pic:cNvPr descr="MIN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02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D’ISTRUZIONE SUPERIORE “B. RUSSELL"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Scientifico Liceo delle Scienze Umane e Liceo Classico “Omero”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Gatti, 16 - 20162 Milano tel. 02/6430051/52 - Fax 02/6437132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www.iis-russell.gov.it C.M. MIIS03900T C.F. 80125870156- Codice univoco UFO7CZ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iis.russell@tiscali.it - MIIS03900T@istruzione.it - MIIS03900T@pec.istruzione.it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0" w:right="0" w:firstLine="0"/>
        <w:contextualSpacing w:val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prot n. 1671/a19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Milano,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settembre 2017</w:t>
        <w:tab/>
        <w:tab/>
        <w:tab/>
        <w:tab/>
        <w:tab/>
        <w:t xml:space="preserve">   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Agli studenti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 Genitori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 Docenti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Alla Commissione Elettorale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personale ATA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Decreto Indizione Elezioni degli Organi Collegiali di durata annuale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VISTA l’O. M. n. 215 del 15/07/1991, modificata dalle successive OO. MM. N. 267 del 04/08/1995, n. 293 del 24/06/1996 e n. 277 del 17/06/1998 concernente le norme del Consiglio d’Istituto;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VISTO il T. U. approvato con decreto legislativo 16/04/1994, n. 297, parte 1^ - Titolo 1^ - concernente le norme sulla Istituzione degli Organi Collegiali della Scuola;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VISTA la delibera del Collegio Docenti n. 4 del 08/09/2017;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Sono indette le elezioni: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i rappresentanti di genitori e studenti nei Consigli di Classe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martedì 10/10/2017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i rappresentanti di studenti nel Consiglio di Istituto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martedì 24/10/2017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i rappresentanti degli studenti nella Consulta Provinciale Studentesca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martedì 24/10/2017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modalità e la scansione dei tempi saranno indicate con successiva circolare interna.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prof.ssa Laura Gamba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(Firma autografa sostituita a mezzo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              ai sensi dell’art.3, comma 2 del D.Lgs. n.39/1993)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